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72B29" w14:textId="77777777" w:rsidR="00F803DF" w:rsidRDefault="00C060BF">
      <w:r>
        <w:t>Consequences of World War II Overview Notes</w:t>
      </w:r>
      <w:r>
        <w:tab/>
      </w:r>
      <w:r>
        <w:tab/>
      </w:r>
      <w:r>
        <w:tab/>
      </w:r>
      <w:r>
        <w:tab/>
      </w:r>
      <w:r>
        <w:tab/>
      </w:r>
      <w:r>
        <w:tab/>
      </w:r>
      <w:r>
        <w:tab/>
      </w:r>
      <w:r>
        <w:tab/>
      </w:r>
      <w:r>
        <w:tab/>
      </w:r>
      <w:r>
        <w:tab/>
        <w:t>IB History II</w:t>
      </w:r>
    </w:p>
    <w:p w14:paraId="1ADF90C6" w14:textId="77777777" w:rsidR="00C060BF" w:rsidRDefault="00C060BF"/>
    <w:p w14:paraId="0DC1BD58" w14:textId="1A63E37F" w:rsidR="00C060BF" w:rsidRDefault="00C060BF">
      <w:r>
        <w:rPr>
          <w:b/>
        </w:rPr>
        <w:t xml:space="preserve">Instructions:  </w:t>
      </w:r>
      <w:r>
        <w:t xml:space="preserve">Use this document to take notes of the overview of the </w:t>
      </w:r>
      <w:r w:rsidR="00D12EA9">
        <w:t xml:space="preserve">consequences of World War II.  Mr. Johnson has provided the </w:t>
      </w:r>
      <w:r w:rsidR="00D258DC">
        <w:t>main ideas and you will need to take note of the details.</w:t>
      </w:r>
    </w:p>
    <w:p w14:paraId="28E954B8" w14:textId="77777777" w:rsidR="00D258DC" w:rsidRDefault="00D258DC"/>
    <w:tbl>
      <w:tblPr>
        <w:tblStyle w:val="TableGrid"/>
        <w:tblW w:w="0" w:type="auto"/>
        <w:tblLook w:val="04A0" w:firstRow="1" w:lastRow="0" w:firstColumn="1" w:lastColumn="0" w:noHBand="0" w:noVBand="1"/>
      </w:tblPr>
      <w:tblGrid>
        <w:gridCol w:w="2425"/>
        <w:gridCol w:w="8730"/>
        <w:gridCol w:w="1795"/>
      </w:tblGrid>
      <w:tr w:rsidR="00D258DC" w14:paraId="77F4ADEF" w14:textId="77777777" w:rsidTr="00F42514">
        <w:tc>
          <w:tcPr>
            <w:tcW w:w="2425" w:type="dxa"/>
          </w:tcPr>
          <w:p w14:paraId="70464B7B" w14:textId="782CD715" w:rsidR="00D258DC" w:rsidRPr="00D258DC" w:rsidRDefault="00D258DC" w:rsidP="00D258DC">
            <w:pPr>
              <w:jc w:val="center"/>
              <w:rPr>
                <w:b/>
              </w:rPr>
            </w:pPr>
            <w:r>
              <w:rPr>
                <w:b/>
              </w:rPr>
              <w:t>Main Ideas</w:t>
            </w:r>
          </w:p>
        </w:tc>
        <w:tc>
          <w:tcPr>
            <w:tcW w:w="8730" w:type="dxa"/>
          </w:tcPr>
          <w:p w14:paraId="53CA9E26" w14:textId="6B442D0C" w:rsidR="00D258DC" w:rsidRPr="00D258DC" w:rsidRDefault="00D258DC" w:rsidP="00D258DC">
            <w:pPr>
              <w:jc w:val="center"/>
              <w:rPr>
                <w:b/>
              </w:rPr>
            </w:pPr>
            <w:r>
              <w:rPr>
                <w:b/>
              </w:rPr>
              <w:t>Details</w:t>
            </w:r>
          </w:p>
        </w:tc>
        <w:tc>
          <w:tcPr>
            <w:tcW w:w="1795" w:type="dxa"/>
          </w:tcPr>
          <w:p w14:paraId="1F220A5F" w14:textId="31811F45" w:rsidR="00D258DC" w:rsidRPr="00D258DC" w:rsidRDefault="00D258DC" w:rsidP="00D258DC">
            <w:pPr>
              <w:jc w:val="center"/>
              <w:rPr>
                <w:b/>
              </w:rPr>
            </w:pPr>
            <w:r>
              <w:rPr>
                <w:b/>
              </w:rPr>
              <w:t>Questions</w:t>
            </w:r>
          </w:p>
        </w:tc>
      </w:tr>
      <w:tr w:rsidR="00D258DC" w14:paraId="027C8B48" w14:textId="77777777" w:rsidTr="00F42514">
        <w:tc>
          <w:tcPr>
            <w:tcW w:w="2425" w:type="dxa"/>
          </w:tcPr>
          <w:p w14:paraId="00C19859" w14:textId="744A738C" w:rsidR="00D258DC" w:rsidRDefault="002F4694" w:rsidP="00D258DC">
            <w:pPr>
              <w:jc w:val="center"/>
            </w:pPr>
            <w:r>
              <w:t>Human and Physical Cost</w:t>
            </w:r>
          </w:p>
        </w:tc>
        <w:tc>
          <w:tcPr>
            <w:tcW w:w="8730" w:type="dxa"/>
          </w:tcPr>
          <w:p w14:paraId="15B0B6E6" w14:textId="77777777" w:rsidR="00D258DC" w:rsidRDefault="00D258DC" w:rsidP="00D258DC">
            <w:pPr>
              <w:jc w:val="center"/>
            </w:pPr>
          </w:p>
          <w:p w14:paraId="37654AAE" w14:textId="77777777" w:rsidR="0022266B" w:rsidRDefault="0022266B" w:rsidP="00D258DC">
            <w:pPr>
              <w:jc w:val="center"/>
            </w:pPr>
          </w:p>
          <w:p w14:paraId="43EEC6BC" w14:textId="77777777" w:rsidR="0022266B" w:rsidRDefault="0022266B" w:rsidP="00D258DC">
            <w:pPr>
              <w:jc w:val="center"/>
            </w:pPr>
          </w:p>
          <w:p w14:paraId="1DFE3ED0" w14:textId="447B4165" w:rsidR="0022266B" w:rsidRPr="00115B9C" w:rsidRDefault="0022266B" w:rsidP="00115B9C">
            <w:pPr>
              <w:rPr>
                <w:rFonts w:eastAsia="Times New Roman"/>
              </w:rPr>
            </w:pPr>
          </w:p>
        </w:tc>
        <w:tc>
          <w:tcPr>
            <w:tcW w:w="1795" w:type="dxa"/>
          </w:tcPr>
          <w:p w14:paraId="3DBC790C" w14:textId="77777777" w:rsidR="00D258DC" w:rsidRDefault="00D258DC" w:rsidP="00D258DC">
            <w:pPr>
              <w:jc w:val="center"/>
            </w:pPr>
          </w:p>
        </w:tc>
      </w:tr>
      <w:tr w:rsidR="00D258DC" w14:paraId="56F662D2" w14:textId="77777777" w:rsidTr="00F42514">
        <w:tc>
          <w:tcPr>
            <w:tcW w:w="2425" w:type="dxa"/>
          </w:tcPr>
          <w:p w14:paraId="7EF7F0B7" w14:textId="58A10CE5" w:rsidR="00D258DC" w:rsidRDefault="002F4694" w:rsidP="00D258DC">
            <w:pPr>
              <w:jc w:val="center"/>
            </w:pPr>
            <w:r>
              <w:t>Peace Treaties and Territorial Changes</w:t>
            </w:r>
            <w:r w:rsidR="00F42514">
              <w:t xml:space="preserve"> in Europe</w:t>
            </w:r>
          </w:p>
        </w:tc>
        <w:tc>
          <w:tcPr>
            <w:tcW w:w="8730" w:type="dxa"/>
          </w:tcPr>
          <w:p w14:paraId="08DA9918" w14:textId="77777777" w:rsidR="00D258DC" w:rsidRDefault="00D258DC" w:rsidP="00D258DC">
            <w:pPr>
              <w:jc w:val="center"/>
            </w:pPr>
          </w:p>
        </w:tc>
        <w:tc>
          <w:tcPr>
            <w:tcW w:w="1795" w:type="dxa"/>
          </w:tcPr>
          <w:p w14:paraId="452FD475" w14:textId="77777777" w:rsidR="00D258DC" w:rsidRDefault="00D258DC" w:rsidP="00D258DC">
            <w:pPr>
              <w:jc w:val="center"/>
            </w:pPr>
          </w:p>
        </w:tc>
      </w:tr>
      <w:tr w:rsidR="00D258DC" w14:paraId="4223BA33" w14:textId="77777777" w:rsidTr="00F42514">
        <w:tc>
          <w:tcPr>
            <w:tcW w:w="2425" w:type="dxa"/>
          </w:tcPr>
          <w:p w14:paraId="4539F5B8" w14:textId="1B9E0E20" w:rsidR="00D258DC" w:rsidRDefault="002F4694" w:rsidP="00D258DC">
            <w:pPr>
              <w:jc w:val="center"/>
            </w:pPr>
            <w:r>
              <w:t>New Political Systems</w:t>
            </w:r>
            <w:r w:rsidR="009939AF">
              <w:t xml:space="preserve"> and Start of the Cold War</w:t>
            </w:r>
            <w:r w:rsidR="00F42514">
              <w:t xml:space="preserve"> in Europe</w:t>
            </w:r>
          </w:p>
        </w:tc>
        <w:tc>
          <w:tcPr>
            <w:tcW w:w="8730" w:type="dxa"/>
          </w:tcPr>
          <w:p w14:paraId="5B946F1B" w14:textId="77777777" w:rsidR="00D258DC" w:rsidRDefault="00D258DC" w:rsidP="00D258DC">
            <w:pPr>
              <w:jc w:val="center"/>
            </w:pPr>
          </w:p>
        </w:tc>
        <w:tc>
          <w:tcPr>
            <w:tcW w:w="1795" w:type="dxa"/>
          </w:tcPr>
          <w:p w14:paraId="687741C9" w14:textId="77777777" w:rsidR="00D258DC" w:rsidRDefault="00D258DC" w:rsidP="00D258DC">
            <w:pPr>
              <w:jc w:val="center"/>
            </w:pPr>
          </w:p>
        </w:tc>
      </w:tr>
      <w:tr w:rsidR="00D258DC" w14:paraId="30C5EB4F" w14:textId="77777777" w:rsidTr="00F42514">
        <w:tc>
          <w:tcPr>
            <w:tcW w:w="2425" w:type="dxa"/>
          </w:tcPr>
          <w:p w14:paraId="3E9C0FBD" w14:textId="19909075" w:rsidR="00D258DC" w:rsidRDefault="009939AF" w:rsidP="00D258DC">
            <w:pPr>
              <w:jc w:val="center"/>
            </w:pPr>
            <w:r>
              <w:t>Economic Consequences</w:t>
            </w:r>
            <w:r w:rsidR="00F42514">
              <w:t xml:space="preserve"> in Europe</w:t>
            </w:r>
          </w:p>
        </w:tc>
        <w:tc>
          <w:tcPr>
            <w:tcW w:w="8730" w:type="dxa"/>
          </w:tcPr>
          <w:p w14:paraId="04149803" w14:textId="77777777" w:rsidR="00D258DC" w:rsidRDefault="00D258DC" w:rsidP="00D258DC">
            <w:pPr>
              <w:jc w:val="center"/>
            </w:pPr>
          </w:p>
        </w:tc>
        <w:tc>
          <w:tcPr>
            <w:tcW w:w="1795" w:type="dxa"/>
          </w:tcPr>
          <w:p w14:paraId="2518501B" w14:textId="77777777" w:rsidR="00D258DC" w:rsidRDefault="00D258DC" w:rsidP="00D258DC">
            <w:pPr>
              <w:jc w:val="center"/>
            </w:pPr>
          </w:p>
        </w:tc>
      </w:tr>
      <w:tr w:rsidR="00D258DC" w14:paraId="638856B5" w14:textId="77777777" w:rsidTr="00F42514">
        <w:tc>
          <w:tcPr>
            <w:tcW w:w="2425" w:type="dxa"/>
          </w:tcPr>
          <w:p w14:paraId="1CD38C4D" w14:textId="225386C4" w:rsidR="00D258DC" w:rsidRDefault="00F42514" w:rsidP="00D258DC">
            <w:pPr>
              <w:jc w:val="center"/>
            </w:pPr>
            <w:r>
              <w:t>Peace Treaties and Territorial Changes</w:t>
            </w:r>
            <w:r>
              <w:t xml:space="preserve"> in Pacific</w:t>
            </w:r>
          </w:p>
        </w:tc>
        <w:tc>
          <w:tcPr>
            <w:tcW w:w="8730" w:type="dxa"/>
          </w:tcPr>
          <w:p w14:paraId="7ABA3698" w14:textId="77777777" w:rsidR="00D258DC" w:rsidRDefault="00D258DC" w:rsidP="00D258DC">
            <w:pPr>
              <w:jc w:val="center"/>
            </w:pPr>
          </w:p>
        </w:tc>
        <w:tc>
          <w:tcPr>
            <w:tcW w:w="1795" w:type="dxa"/>
          </w:tcPr>
          <w:p w14:paraId="54CD5024" w14:textId="77777777" w:rsidR="00D258DC" w:rsidRDefault="00D258DC" w:rsidP="00D258DC">
            <w:pPr>
              <w:jc w:val="center"/>
            </w:pPr>
          </w:p>
        </w:tc>
      </w:tr>
      <w:tr w:rsidR="00F42514" w14:paraId="1550D250" w14:textId="77777777" w:rsidTr="00F42514">
        <w:tc>
          <w:tcPr>
            <w:tcW w:w="2425" w:type="dxa"/>
          </w:tcPr>
          <w:p w14:paraId="1E9CE1E1" w14:textId="2BDCD139" w:rsidR="00F42514" w:rsidRDefault="00F42514" w:rsidP="00F42514">
            <w:pPr>
              <w:jc w:val="center"/>
            </w:pPr>
            <w:r>
              <w:t xml:space="preserve">New Political Systems </w:t>
            </w:r>
            <w:r>
              <w:t>and the Start of the Cold War in Pacific</w:t>
            </w:r>
          </w:p>
        </w:tc>
        <w:tc>
          <w:tcPr>
            <w:tcW w:w="8730" w:type="dxa"/>
          </w:tcPr>
          <w:p w14:paraId="03922E36" w14:textId="77777777" w:rsidR="00F42514" w:rsidRDefault="00F42514" w:rsidP="00D258DC">
            <w:pPr>
              <w:jc w:val="center"/>
            </w:pPr>
          </w:p>
        </w:tc>
        <w:tc>
          <w:tcPr>
            <w:tcW w:w="1795" w:type="dxa"/>
          </w:tcPr>
          <w:p w14:paraId="1A038D4F" w14:textId="77777777" w:rsidR="00F42514" w:rsidRDefault="00F42514" w:rsidP="00D258DC">
            <w:pPr>
              <w:jc w:val="center"/>
            </w:pPr>
          </w:p>
        </w:tc>
      </w:tr>
      <w:tr w:rsidR="00F42514" w14:paraId="790E1231" w14:textId="77777777" w:rsidTr="00F42514">
        <w:tc>
          <w:tcPr>
            <w:tcW w:w="2425" w:type="dxa"/>
          </w:tcPr>
          <w:p w14:paraId="7D97561C" w14:textId="39A91821" w:rsidR="00F42514" w:rsidRDefault="00615DC6" w:rsidP="00F42514">
            <w:pPr>
              <w:jc w:val="center"/>
            </w:pPr>
            <w:r>
              <w:t>International Institutions</w:t>
            </w:r>
          </w:p>
        </w:tc>
        <w:tc>
          <w:tcPr>
            <w:tcW w:w="8730" w:type="dxa"/>
          </w:tcPr>
          <w:p w14:paraId="31CF5FF7" w14:textId="77777777" w:rsidR="00F42514" w:rsidRDefault="00F42514" w:rsidP="00D258DC">
            <w:pPr>
              <w:jc w:val="center"/>
            </w:pPr>
          </w:p>
        </w:tc>
        <w:tc>
          <w:tcPr>
            <w:tcW w:w="1795" w:type="dxa"/>
          </w:tcPr>
          <w:p w14:paraId="7BA160DE" w14:textId="77777777" w:rsidR="00F42514" w:rsidRDefault="00F42514" w:rsidP="00D258DC">
            <w:pPr>
              <w:jc w:val="center"/>
            </w:pPr>
          </w:p>
        </w:tc>
      </w:tr>
      <w:tr w:rsidR="00615DC6" w14:paraId="700E0870" w14:textId="77777777" w:rsidTr="005D7807">
        <w:trPr>
          <w:trHeight w:val="1646"/>
        </w:trPr>
        <w:tc>
          <w:tcPr>
            <w:tcW w:w="2425" w:type="dxa"/>
          </w:tcPr>
          <w:p w14:paraId="2F648561" w14:textId="06D77752" w:rsidR="00615DC6" w:rsidRDefault="00615DC6" w:rsidP="00F42514">
            <w:pPr>
              <w:jc w:val="center"/>
            </w:pPr>
            <w:r>
              <w:t xml:space="preserve">Social </w:t>
            </w:r>
            <w:r w:rsidR="0017741B">
              <w:t xml:space="preserve">and Cultural </w:t>
            </w:r>
            <w:r>
              <w:t xml:space="preserve">Changes </w:t>
            </w:r>
          </w:p>
        </w:tc>
        <w:tc>
          <w:tcPr>
            <w:tcW w:w="8730" w:type="dxa"/>
          </w:tcPr>
          <w:p w14:paraId="68BB5EBC" w14:textId="26634026" w:rsidR="00554403" w:rsidRDefault="00554403" w:rsidP="00554403">
            <w:pPr>
              <w:rPr>
                <w:rFonts w:eastAsia="Times New Roman"/>
              </w:rPr>
            </w:pPr>
            <w:r>
              <w:rPr>
                <w:rFonts w:eastAsia="Times New Roman"/>
              </w:rPr>
              <w:t>They also tested the institutions of societies,</w:t>
            </w:r>
            <w:r>
              <w:rPr>
                <w:rFonts w:eastAsia="Times New Roman"/>
              </w:rPr>
              <w:t xml:space="preserve"> and, due to the need to mobiliz</w:t>
            </w:r>
            <w:r>
              <w:rPr>
                <w:rFonts w:eastAsia="Times New Roman"/>
              </w:rPr>
              <w:t xml:space="preserve">e the entire economy and society for the war effort, led to "progressive" social changes. The impact of war upon societies has since become a major field of study and much work has concentrated upon the social and cultural as well as the political and economic impact of the Second World War. </w:t>
            </w:r>
          </w:p>
          <w:p w14:paraId="038A8A14" w14:textId="00F06F65" w:rsidR="006D6F01" w:rsidRDefault="00554403" w:rsidP="00554403">
            <w:pPr>
              <w:rPr>
                <w:rFonts w:eastAsia="Times New Roman"/>
              </w:rPr>
            </w:pPr>
            <w:r>
              <w:rPr>
                <w:rFonts w:eastAsia="Times New Roman"/>
              </w:rPr>
              <w:t xml:space="preserve"> </w:t>
            </w:r>
          </w:p>
          <w:p w14:paraId="511F897D" w14:textId="77777777" w:rsidR="006D6F01" w:rsidRDefault="006D6F01" w:rsidP="006D6F01">
            <w:pPr>
              <w:rPr>
                <w:rFonts w:eastAsia="Times New Roman"/>
              </w:rPr>
            </w:pPr>
          </w:p>
          <w:p w14:paraId="63B761C3" w14:textId="47263BB1" w:rsidR="00371EF7" w:rsidRDefault="00A978CA" w:rsidP="00371EF7">
            <w:pPr>
              <w:rPr>
                <w:rFonts w:eastAsia="Times New Roman"/>
              </w:rPr>
            </w:pPr>
            <w:r>
              <w:rPr>
                <w:rFonts w:eastAsia="Times New Roman"/>
              </w:rPr>
              <w:t>EX:</w:t>
            </w:r>
            <w:r w:rsidR="00371EF7">
              <w:rPr>
                <w:rFonts w:eastAsia="Times New Roman"/>
              </w:rPr>
              <w:t xml:space="preserve"> H</w:t>
            </w:r>
            <w:r w:rsidR="00371EF7">
              <w:rPr>
                <w:rFonts w:eastAsia="Times New Roman"/>
              </w:rPr>
              <w:t>ome ownership rates rose from four in ten U.S. households in 1940 to more than six in ten by the 1960s</w:t>
            </w:r>
          </w:p>
          <w:p w14:paraId="05FC62BD" w14:textId="77777777" w:rsidR="00A978CA" w:rsidRDefault="00A978CA" w:rsidP="006D6F01">
            <w:pPr>
              <w:rPr>
                <w:rFonts w:eastAsia="Times New Roman"/>
              </w:rPr>
            </w:pPr>
          </w:p>
          <w:p w14:paraId="0BBBA3FC" w14:textId="6A2EF0D4" w:rsidR="00554403" w:rsidRDefault="00A978CA" w:rsidP="00554403">
            <w:pPr>
              <w:rPr>
                <w:rFonts w:eastAsia="Times New Roman"/>
              </w:rPr>
            </w:pPr>
            <w:r>
              <w:rPr>
                <w:rFonts w:eastAsia="Times New Roman"/>
              </w:rPr>
              <w:t xml:space="preserve">Historiography: </w:t>
            </w:r>
            <w:r w:rsidR="00554403">
              <w:rPr>
                <w:rFonts w:eastAsia="Times New Roman"/>
              </w:rPr>
              <w:t>“</w:t>
            </w:r>
            <w:r w:rsidR="00554403">
              <w:rPr>
                <w:rFonts w:eastAsia="Times New Roman"/>
              </w:rPr>
              <w:t>T</w:t>
            </w:r>
            <w:r w:rsidR="00554403" w:rsidRPr="006D6F01">
              <w:rPr>
                <w:rFonts w:eastAsia="Times New Roman"/>
              </w:rPr>
              <w:t>he war had a socially levelling impact and that significant indicators were a narrowing of the gap between rich and poor in terms of incomes and wealth due to income tax, death duties and an increase in state welfare; it did not erode class differences, but improved the p</w:t>
            </w:r>
            <w:r w:rsidR="00554403">
              <w:rPr>
                <w:rFonts w:eastAsia="Times New Roman"/>
              </w:rPr>
              <w:t>osition of the working classes.” Arthur Marwick</w:t>
            </w:r>
          </w:p>
          <w:p w14:paraId="3E64ACB9" w14:textId="7B01B64D" w:rsidR="00A978CA" w:rsidRDefault="00A978CA" w:rsidP="006D6F01">
            <w:pPr>
              <w:rPr>
                <w:rFonts w:eastAsia="Times New Roman"/>
              </w:rPr>
            </w:pPr>
          </w:p>
          <w:p w14:paraId="30AA4E94" w14:textId="4DCA4E41" w:rsidR="00A978CA" w:rsidRDefault="00A978CA" w:rsidP="00A978CA">
            <w:pPr>
              <w:rPr>
                <w:rFonts w:eastAsia="Times New Roman"/>
              </w:rPr>
            </w:pPr>
            <w:r>
              <w:rPr>
                <w:rFonts w:eastAsia="Times New Roman"/>
              </w:rPr>
              <w:t>B</w:t>
            </w:r>
            <w:r>
              <w:rPr>
                <w:rFonts w:eastAsia="Times New Roman"/>
              </w:rPr>
              <w:t>oth world wars had seen more women employed in a wider range of occupations and that, after 1945, women were to enjoy greater opportunities and a more equal position in society.</w:t>
            </w:r>
            <w:hyperlink r:id="rId4" w:anchor="mediabar_linkbr" w:tooltip="Verknüpftes Element in Medienleiste anzeigen" w:history="1">
              <w:r>
                <w:rPr>
                  <w:rStyle w:val="Hyperlink"/>
                  <w:rFonts w:eastAsia="Times New Roman"/>
                </w:rPr>
                <w:t> </w:t>
              </w:r>
            </w:hyperlink>
          </w:p>
          <w:p w14:paraId="41EA7333" w14:textId="77777777" w:rsidR="006D6F01" w:rsidRPr="006D6F01" w:rsidRDefault="006D6F01" w:rsidP="006D6F01">
            <w:pPr>
              <w:rPr>
                <w:rFonts w:eastAsia="Times New Roman"/>
              </w:rPr>
            </w:pPr>
          </w:p>
          <w:p w14:paraId="485DC112" w14:textId="77777777" w:rsidR="003629DA" w:rsidRDefault="00A978CA" w:rsidP="003629DA">
            <w:pPr>
              <w:rPr>
                <w:rFonts w:eastAsia="Times New Roman"/>
              </w:rPr>
            </w:pPr>
            <w:r>
              <w:t xml:space="preserve">EX: </w:t>
            </w:r>
            <w:r w:rsidR="003629DA">
              <w:rPr>
                <w:rFonts w:eastAsia="Times New Roman"/>
              </w:rPr>
              <w:t>For the first time in history, married working women outnumbered single working women as 6.3 million women entered the work force during the war.</w:t>
            </w:r>
          </w:p>
          <w:p w14:paraId="1C093A04" w14:textId="77777777" w:rsidR="00615DC6" w:rsidRDefault="00615DC6" w:rsidP="00A978CA"/>
          <w:p w14:paraId="29036899" w14:textId="77777777" w:rsidR="00A978CA" w:rsidRDefault="00A978CA" w:rsidP="00A978CA"/>
          <w:p w14:paraId="27D47DFF" w14:textId="76BE84DF" w:rsidR="00A978CA" w:rsidRDefault="00A978CA" w:rsidP="00A978CA">
            <w:pPr>
              <w:rPr>
                <w:rFonts w:eastAsia="Times New Roman"/>
              </w:rPr>
            </w:pPr>
            <w:r>
              <w:rPr>
                <w:rFonts w:eastAsia="Times New Roman"/>
              </w:rPr>
              <w:t>Historiography: “</w:t>
            </w:r>
            <w:r>
              <w:rPr>
                <w:rFonts w:eastAsia="Times New Roman"/>
              </w:rPr>
              <w:t>The structure of economic life and the types of employment it provided meant that any major changes in women's position had to await the de-</w:t>
            </w:r>
            <w:proofErr w:type="spellStart"/>
            <w:r>
              <w:rPr>
                <w:rFonts w:eastAsia="Times New Roman"/>
              </w:rPr>
              <w:t>industrialisation</w:t>
            </w:r>
            <w:proofErr w:type="spellEnd"/>
            <w:r>
              <w:rPr>
                <w:rFonts w:eastAsia="Times New Roman"/>
              </w:rPr>
              <w:t xml:space="preserve"> that began in the 1960s, while, even then, many women had different priorities to those of men. Probably, again as with most social developments, it is more realistic to see the war as, at best, giving a push, and perhaps only a brief one, to change.</w:t>
            </w:r>
            <w:r>
              <w:rPr>
                <w:rFonts w:eastAsia="Times New Roman"/>
              </w:rPr>
              <w:t xml:space="preserve">” Francois </w:t>
            </w:r>
            <w:proofErr w:type="spellStart"/>
            <w:r>
              <w:rPr>
                <w:rFonts w:eastAsia="Times New Roman"/>
              </w:rPr>
              <w:t>Bedarida</w:t>
            </w:r>
            <w:proofErr w:type="spellEnd"/>
          </w:p>
          <w:p w14:paraId="25D9E6D5" w14:textId="77777777" w:rsidR="00A978CA" w:rsidRDefault="00A978CA" w:rsidP="00A978CA"/>
          <w:p w14:paraId="2BE15D0F" w14:textId="018D2580" w:rsidR="00554403" w:rsidRDefault="00554403" w:rsidP="00554403">
            <w:pPr>
              <w:rPr>
                <w:rFonts w:eastAsia="Times New Roman"/>
              </w:rPr>
            </w:pPr>
            <w:r>
              <w:rPr>
                <w:rFonts w:eastAsia="Times New Roman"/>
              </w:rPr>
              <w:t xml:space="preserve">The major alterations to European society and culture did not emerge until the 1950s and are often </w:t>
            </w:r>
            <w:r>
              <w:rPr>
                <w:rFonts w:eastAsia="Times New Roman"/>
              </w:rPr>
              <w:t>seen as a process of "Americaniz</w:t>
            </w:r>
            <w:r>
              <w:rPr>
                <w:rFonts w:eastAsia="Times New Roman"/>
              </w:rPr>
              <w:t>ation", although it may well be that American society was simply the first to display the changes that are often gathered together in th</w:t>
            </w:r>
            <w:r>
              <w:rPr>
                <w:rFonts w:eastAsia="Times New Roman"/>
              </w:rPr>
              <w:t>e unsatisfactory term, "moderniz</w:t>
            </w:r>
            <w:r>
              <w:rPr>
                <w:rFonts w:eastAsia="Times New Roman"/>
              </w:rPr>
              <w:t>ation".</w:t>
            </w:r>
          </w:p>
          <w:p w14:paraId="1EE4596C" w14:textId="77777777" w:rsidR="00554403" w:rsidRDefault="00554403" w:rsidP="00554403">
            <w:pPr>
              <w:rPr>
                <w:rFonts w:eastAsia="Times New Roman"/>
              </w:rPr>
            </w:pPr>
          </w:p>
          <w:p w14:paraId="632EFDB0" w14:textId="77777777" w:rsidR="00330420" w:rsidRDefault="00554403" w:rsidP="00330420">
            <w:pPr>
              <w:rPr>
                <w:rFonts w:eastAsia="Times New Roman"/>
              </w:rPr>
            </w:pPr>
            <w:r>
              <w:rPr>
                <w:rFonts w:eastAsia="Times New Roman"/>
              </w:rPr>
              <w:t xml:space="preserve">EX: </w:t>
            </w:r>
            <w:r w:rsidR="003629DA">
              <w:rPr>
                <w:rFonts w:eastAsia="Times New Roman"/>
              </w:rPr>
              <w:t xml:space="preserve"> </w:t>
            </w:r>
            <w:r w:rsidR="00330420">
              <w:rPr>
                <w:rFonts w:eastAsia="Times New Roman"/>
              </w:rPr>
              <w:t>Jazz, the bandleader Glenn Miller (1904–1944)</w:t>
            </w:r>
            <w:hyperlink r:id="rId5" w:anchor="mediabar_linkbv" w:tooltip="Verknüpftes Element in Medienleiste anzeigen" w:history="1">
              <w:r w:rsidR="00330420">
                <w:rPr>
                  <w:rStyle w:val="Hyperlink"/>
                  <w:rFonts w:eastAsia="Times New Roman"/>
                </w:rPr>
                <w:t> </w:t>
              </w:r>
            </w:hyperlink>
            <w:r w:rsidR="00330420">
              <w:rPr>
                <w:rFonts w:eastAsia="Times New Roman"/>
              </w:rPr>
              <w:t>, US radio stations and GI brides</w:t>
            </w:r>
            <w:hyperlink r:id="rId6" w:anchor="mediabar_linkbw" w:tooltip="Verknüpftes Element in Medienleiste anzeigen" w:history="1">
              <w:r w:rsidR="00330420">
                <w:rPr>
                  <w:rStyle w:val="Hyperlink"/>
                  <w:rFonts w:eastAsia="Times New Roman"/>
                </w:rPr>
                <w:t> </w:t>
              </w:r>
            </w:hyperlink>
            <w:r w:rsidR="00330420">
              <w:rPr>
                <w:rFonts w:eastAsia="Times New Roman"/>
              </w:rPr>
              <w:t xml:space="preserve"> were ubiquitous manifestations of America and the increased popularity of cinema was a major channel of influence. </w:t>
            </w:r>
          </w:p>
          <w:p w14:paraId="3947475F" w14:textId="4FC49DFD" w:rsidR="00554403" w:rsidRDefault="00554403" w:rsidP="00554403">
            <w:pPr>
              <w:rPr>
                <w:rFonts w:eastAsia="Times New Roman"/>
              </w:rPr>
            </w:pPr>
            <w:bookmarkStart w:id="0" w:name="_GoBack"/>
            <w:bookmarkEnd w:id="0"/>
          </w:p>
          <w:p w14:paraId="3E5D9B80" w14:textId="2FBB5BF2" w:rsidR="00554403" w:rsidRPr="005D7807" w:rsidRDefault="00E541B3" w:rsidP="00A978CA">
            <w:pPr>
              <w:rPr>
                <w:rFonts w:eastAsia="Times New Roman"/>
              </w:rPr>
            </w:pPr>
            <w:r>
              <w:rPr>
                <w:rFonts w:eastAsia="Times New Roman"/>
              </w:rPr>
              <w:t>“</w:t>
            </w:r>
            <w:r w:rsidR="005D7807">
              <w:rPr>
                <w:rFonts w:eastAsia="Times New Roman"/>
              </w:rPr>
              <w:t>Hollywood can be seen as part of the cultural arm of the Marshall Plan and its message complemented the Plan's aim of raising the European standard of living and attain</w:t>
            </w:r>
            <w:r>
              <w:rPr>
                <w:rFonts w:eastAsia="Times New Roman"/>
              </w:rPr>
              <w:t>ing economic stability by 1952.” A.W. Purdue</w:t>
            </w:r>
          </w:p>
        </w:tc>
        <w:tc>
          <w:tcPr>
            <w:tcW w:w="1795" w:type="dxa"/>
          </w:tcPr>
          <w:p w14:paraId="28235F5C" w14:textId="77777777" w:rsidR="00615DC6" w:rsidRDefault="00615DC6" w:rsidP="00D258DC">
            <w:pPr>
              <w:jc w:val="center"/>
            </w:pPr>
          </w:p>
        </w:tc>
      </w:tr>
      <w:tr w:rsidR="00D258DC" w14:paraId="48EAF103" w14:textId="77777777" w:rsidTr="00F75165">
        <w:tc>
          <w:tcPr>
            <w:tcW w:w="12950" w:type="dxa"/>
            <w:gridSpan w:val="3"/>
          </w:tcPr>
          <w:p w14:paraId="01DAFB65" w14:textId="539929E4" w:rsidR="00D258DC" w:rsidRPr="00D258DC" w:rsidRDefault="00D258DC" w:rsidP="00D258DC">
            <w:pPr>
              <w:jc w:val="center"/>
              <w:rPr>
                <w:b/>
              </w:rPr>
            </w:pPr>
            <w:r>
              <w:rPr>
                <w:b/>
              </w:rPr>
              <w:lastRenderedPageBreak/>
              <w:t>Summary</w:t>
            </w:r>
          </w:p>
        </w:tc>
      </w:tr>
      <w:tr w:rsidR="00D258DC" w14:paraId="760FB4D4" w14:textId="77777777" w:rsidTr="00F75165">
        <w:tc>
          <w:tcPr>
            <w:tcW w:w="12950" w:type="dxa"/>
            <w:gridSpan w:val="3"/>
          </w:tcPr>
          <w:p w14:paraId="195BE93E" w14:textId="77777777" w:rsidR="00D258DC" w:rsidRDefault="00D258DC"/>
        </w:tc>
      </w:tr>
    </w:tbl>
    <w:p w14:paraId="051B5203" w14:textId="77777777" w:rsidR="00D258DC" w:rsidRPr="00C060BF" w:rsidRDefault="00D258DC"/>
    <w:sectPr w:rsidR="00D258DC" w:rsidRPr="00C060BF" w:rsidSect="00115C32">
      <w:pgSz w:w="15840" w:h="12240" w:orient="landscape"/>
      <w:pgMar w:top="1440" w:right="1440" w:bottom="1440" w:left="144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32"/>
    <w:rsid w:val="00115B9C"/>
    <w:rsid w:val="00115C32"/>
    <w:rsid w:val="0017741B"/>
    <w:rsid w:val="0022266B"/>
    <w:rsid w:val="002D277A"/>
    <w:rsid w:val="002F4694"/>
    <w:rsid w:val="00330420"/>
    <w:rsid w:val="003629DA"/>
    <w:rsid w:val="00371EF7"/>
    <w:rsid w:val="00554403"/>
    <w:rsid w:val="005D7807"/>
    <w:rsid w:val="00615DC6"/>
    <w:rsid w:val="006D6F01"/>
    <w:rsid w:val="009939AF"/>
    <w:rsid w:val="00A978CA"/>
    <w:rsid w:val="00C060BF"/>
    <w:rsid w:val="00D12EA9"/>
    <w:rsid w:val="00D258DC"/>
    <w:rsid w:val="00D85E68"/>
    <w:rsid w:val="00E541B3"/>
    <w:rsid w:val="00F129D3"/>
    <w:rsid w:val="00F4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0CB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F0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97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31277">
      <w:bodyDiv w:val="1"/>
      <w:marLeft w:val="0"/>
      <w:marRight w:val="0"/>
      <w:marTop w:val="0"/>
      <w:marBottom w:val="0"/>
      <w:divBdr>
        <w:top w:val="none" w:sz="0" w:space="0" w:color="auto"/>
        <w:left w:val="none" w:sz="0" w:space="0" w:color="auto"/>
        <w:bottom w:val="none" w:sz="0" w:space="0" w:color="auto"/>
        <w:right w:val="none" w:sz="0" w:space="0" w:color="auto"/>
      </w:divBdr>
    </w:div>
    <w:div w:id="1109197384">
      <w:bodyDiv w:val="1"/>
      <w:marLeft w:val="0"/>
      <w:marRight w:val="0"/>
      <w:marTop w:val="0"/>
      <w:marBottom w:val="0"/>
      <w:divBdr>
        <w:top w:val="none" w:sz="0" w:space="0" w:color="auto"/>
        <w:left w:val="none" w:sz="0" w:space="0" w:color="auto"/>
        <w:bottom w:val="none" w:sz="0" w:space="0" w:color="auto"/>
        <w:right w:val="none" w:sz="0" w:space="0" w:color="auto"/>
      </w:divBdr>
    </w:div>
    <w:div w:id="1426420499">
      <w:bodyDiv w:val="1"/>
      <w:marLeft w:val="0"/>
      <w:marRight w:val="0"/>
      <w:marTop w:val="0"/>
      <w:marBottom w:val="0"/>
      <w:divBdr>
        <w:top w:val="none" w:sz="0" w:space="0" w:color="auto"/>
        <w:left w:val="none" w:sz="0" w:space="0" w:color="auto"/>
        <w:bottom w:val="none" w:sz="0" w:space="0" w:color="auto"/>
        <w:right w:val="none" w:sz="0" w:space="0" w:color="auto"/>
      </w:divBdr>
    </w:div>
    <w:div w:id="1612711504">
      <w:bodyDiv w:val="1"/>
      <w:marLeft w:val="0"/>
      <w:marRight w:val="0"/>
      <w:marTop w:val="0"/>
      <w:marBottom w:val="0"/>
      <w:divBdr>
        <w:top w:val="none" w:sz="0" w:space="0" w:color="auto"/>
        <w:left w:val="none" w:sz="0" w:space="0" w:color="auto"/>
        <w:bottom w:val="none" w:sz="0" w:space="0" w:color="auto"/>
        <w:right w:val="none" w:sz="0" w:space="0" w:color="auto"/>
      </w:divBdr>
    </w:div>
    <w:div w:id="1728411321">
      <w:bodyDiv w:val="1"/>
      <w:marLeft w:val="0"/>
      <w:marRight w:val="0"/>
      <w:marTop w:val="0"/>
      <w:marBottom w:val="0"/>
      <w:divBdr>
        <w:top w:val="none" w:sz="0" w:space="0" w:color="auto"/>
        <w:left w:val="none" w:sz="0" w:space="0" w:color="auto"/>
        <w:bottom w:val="none" w:sz="0" w:space="0" w:color="auto"/>
        <w:right w:val="none" w:sz="0" w:space="0" w:color="auto"/>
      </w:divBdr>
    </w:div>
    <w:div w:id="1811629310">
      <w:bodyDiv w:val="1"/>
      <w:marLeft w:val="0"/>
      <w:marRight w:val="0"/>
      <w:marTop w:val="0"/>
      <w:marBottom w:val="0"/>
      <w:divBdr>
        <w:top w:val="none" w:sz="0" w:space="0" w:color="auto"/>
        <w:left w:val="none" w:sz="0" w:space="0" w:color="auto"/>
        <w:bottom w:val="none" w:sz="0" w:space="0" w:color="auto"/>
        <w:right w:val="none" w:sz="0" w:space="0" w:color="auto"/>
      </w:divBdr>
    </w:div>
    <w:div w:id="1931893164">
      <w:bodyDiv w:val="1"/>
      <w:marLeft w:val="0"/>
      <w:marRight w:val="0"/>
      <w:marTop w:val="0"/>
      <w:marBottom w:val="0"/>
      <w:divBdr>
        <w:top w:val="none" w:sz="0" w:space="0" w:color="auto"/>
        <w:left w:val="none" w:sz="0" w:space="0" w:color="auto"/>
        <w:bottom w:val="none" w:sz="0" w:space="0" w:color="auto"/>
        <w:right w:val="none" w:sz="0" w:space="0" w:color="auto"/>
      </w:divBdr>
    </w:div>
    <w:div w:id="2040857570">
      <w:bodyDiv w:val="1"/>
      <w:marLeft w:val="0"/>
      <w:marRight w:val="0"/>
      <w:marTop w:val="0"/>
      <w:marBottom w:val="0"/>
      <w:divBdr>
        <w:top w:val="none" w:sz="0" w:space="0" w:color="auto"/>
        <w:left w:val="none" w:sz="0" w:space="0" w:color="auto"/>
        <w:bottom w:val="none" w:sz="0" w:space="0" w:color="auto"/>
        <w:right w:val="none" w:sz="0" w:space="0" w:color="auto"/>
      </w:divBdr>
    </w:div>
    <w:div w:id="2056538515">
      <w:bodyDiv w:val="1"/>
      <w:marLeft w:val="0"/>
      <w:marRight w:val="0"/>
      <w:marTop w:val="0"/>
      <w:marBottom w:val="0"/>
      <w:divBdr>
        <w:top w:val="none" w:sz="0" w:space="0" w:color="auto"/>
        <w:left w:val="none" w:sz="0" w:space="0" w:color="auto"/>
        <w:bottom w:val="none" w:sz="0" w:space="0" w:color="auto"/>
        <w:right w:val="none" w:sz="0" w:space="0" w:color="auto"/>
      </w:divBdr>
    </w:div>
    <w:div w:id="2078161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eg-ego.eu/en/threads/alliances-and-wars/war-as-an-agent-of-transfer/a-w-purdue-the-transformative-impact-of-world-war-ii" TargetMode="External"/><Relationship Id="rId5" Type="http://schemas.openxmlformats.org/officeDocument/2006/relationships/hyperlink" Target="http://ieg-ego.eu/en/threads/alliances-and-wars/war-as-an-agent-of-transfer/a-w-purdue-the-transformative-impact-of-world-war-ii" TargetMode="External"/><Relationship Id="rId6" Type="http://schemas.openxmlformats.org/officeDocument/2006/relationships/hyperlink" Target="http://ieg-ego.eu/en/threads/alliances-and-wars/war-as-an-agent-of-transfer/a-w-purdue-the-transformative-impact-of-world-war-ii"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542</Words>
  <Characters>3094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2018-11-06T18:31:00Z</dcterms:created>
  <dcterms:modified xsi:type="dcterms:W3CDTF">2018-11-06T19:43:00Z</dcterms:modified>
</cp:coreProperties>
</file>